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824" w:rsidRPr="00B670C6" w:rsidRDefault="004371A5" w:rsidP="008C274B">
      <w:pPr>
        <w:jc w:val="both"/>
        <w:rPr>
          <w:rFonts w:ascii="Calibri" w:hAnsi="Calibri"/>
          <w:b/>
          <w:color w:val="C00000"/>
        </w:rPr>
      </w:pPr>
      <w:r w:rsidRPr="00B670C6">
        <w:rPr>
          <w:rFonts w:ascii="Calibri" w:hAnsi="Calibri"/>
          <w:b/>
          <w:color w:val="C00000"/>
        </w:rPr>
        <w:t xml:space="preserve">Anexa </w:t>
      </w:r>
      <w:r w:rsidR="00C22ECD">
        <w:rPr>
          <w:rFonts w:ascii="Calibri" w:hAnsi="Calibri"/>
          <w:b/>
          <w:color w:val="C00000"/>
        </w:rPr>
        <w:t>1</w:t>
      </w:r>
      <w:r w:rsidRPr="00B670C6">
        <w:rPr>
          <w:rFonts w:ascii="Calibri" w:hAnsi="Calibri"/>
          <w:b/>
          <w:color w:val="C00000"/>
        </w:rPr>
        <w:t>:</w:t>
      </w:r>
      <w:r w:rsidR="00046A51" w:rsidRPr="00B670C6">
        <w:rPr>
          <w:rFonts w:ascii="Calibri" w:hAnsi="Calibri"/>
          <w:b/>
          <w:color w:val="C00000"/>
        </w:rPr>
        <w:t xml:space="preserve"> </w:t>
      </w:r>
      <w:r w:rsidRPr="00B670C6">
        <w:rPr>
          <w:rFonts w:ascii="Calibri" w:hAnsi="Calibri"/>
          <w:b/>
          <w:color w:val="C00000"/>
        </w:rPr>
        <w:t>Definițiile indicatorilor de rezultat și realizare</w:t>
      </w:r>
      <w:r w:rsidR="004A3D0F">
        <w:rPr>
          <w:rFonts w:ascii="Calibri" w:hAnsi="Calibri"/>
          <w:b/>
          <w:color w:val="C00000"/>
        </w:rPr>
        <w:t xml:space="preserve"> </w:t>
      </w:r>
      <w:r w:rsidR="00162487">
        <w:rPr>
          <w:rFonts w:ascii="Calibri" w:hAnsi="Calibri"/>
          <w:b/>
          <w:color w:val="C00000"/>
        </w:rPr>
        <w:t xml:space="preserve">- </w:t>
      </w:r>
      <w:r w:rsidR="004A3D0F">
        <w:rPr>
          <w:rFonts w:ascii="Calibri" w:hAnsi="Calibri"/>
          <w:b/>
          <w:color w:val="C00000"/>
        </w:rPr>
        <w:t>ghidul solicitantului – condiții specifice</w:t>
      </w:r>
      <w:r w:rsidR="00162487">
        <w:rPr>
          <w:rFonts w:ascii="Calibri" w:hAnsi="Calibri"/>
          <w:b/>
          <w:color w:val="C00000"/>
        </w:rPr>
        <w:t xml:space="preserve"> OS </w:t>
      </w:r>
      <w:r w:rsidR="0025646C">
        <w:rPr>
          <w:rFonts w:ascii="Calibri" w:hAnsi="Calibri"/>
          <w:b/>
          <w:color w:val="C00000"/>
        </w:rPr>
        <w:t>2</w:t>
      </w:r>
      <w:r w:rsidR="00162487">
        <w:rPr>
          <w:rFonts w:ascii="Calibri" w:hAnsi="Calibri"/>
          <w:b/>
          <w:color w:val="C00000"/>
        </w:rPr>
        <w:t>.</w:t>
      </w:r>
      <w:r w:rsidR="006D4904">
        <w:rPr>
          <w:rFonts w:ascii="Calibri" w:hAnsi="Calibri"/>
          <w:b/>
          <w:color w:val="C00000"/>
        </w:rPr>
        <w:t>3</w:t>
      </w:r>
      <w:r w:rsidR="00162487">
        <w:rPr>
          <w:rFonts w:ascii="Calibri" w:hAnsi="Calibri"/>
          <w:b/>
          <w:color w:val="C00000"/>
        </w:rPr>
        <w:t xml:space="preserve"> </w:t>
      </w:r>
    </w:p>
    <w:tbl>
      <w:tblPr>
        <w:tblStyle w:val="TableGrid"/>
        <w:tblW w:w="14392" w:type="dxa"/>
        <w:tblLook w:val="04A0" w:firstRow="1" w:lastRow="0" w:firstColumn="1" w:lastColumn="0" w:noHBand="0" w:noVBand="1"/>
      </w:tblPr>
      <w:tblGrid>
        <w:gridCol w:w="648"/>
        <w:gridCol w:w="900"/>
        <w:gridCol w:w="1594"/>
        <w:gridCol w:w="2880"/>
        <w:gridCol w:w="4500"/>
        <w:gridCol w:w="3870"/>
      </w:tblGrid>
      <w:tr w:rsidR="006D4904" w:rsidRPr="001B0CDF" w:rsidTr="002054E8">
        <w:trPr>
          <w:trHeight w:val="224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D4904" w:rsidRPr="001B0CDF" w:rsidRDefault="006D4904" w:rsidP="004D5580">
            <w:pPr>
              <w:jc w:val="both"/>
              <w:rPr>
                <w:rFonts w:ascii="Calibri" w:hAnsi="Calibri"/>
                <w:b/>
                <w:color w:val="17365D" w:themeColor="text2" w:themeShade="BF"/>
                <w:sz w:val="18"/>
                <w:szCs w:val="18"/>
              </w:rPr>
            </w:pPr>
            <w:r w:rsidRPr="001B0CDF">
              <w:rPr>
                <w:rFonts w:ascii="Calibri" w:hAnsi="Calibri"/>
                <w:b/>
                <w:color w:val="17365D" w:themeColor="text2" w:themeShade="BF"/>
                <w:sz w:val="18"/>
                <w:szCs w:val="18"/>
              </w:rPr>
              <w:t>Cod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D4904" w:rsidRPr="001B0CDF" w:rsidRDefault="006D4904" w:rsidP="004D5580">
            <w:pPr>
              <w:jc w:val="both"/>
              <w:rPr>
                <w:rFonts w:ascii="Calibri" w:hAnsi="Calibri"/>
                <w:b/>
                <w:color w:val="17365D" w:themeColor="text2" w:themeShade="BF"/>
                <w:sz w:val="18"/>
                <w:szCs w:val="18"/>
              </w:rPr>
            </w:pPr>
            <w:r w:rsidRPr="001B0CDF">
              <w:rPr>
                <w:rFonts w:ascii="Calibri" w:hAnsi="Calibri"/>
                <w:b/>
                <w:color w:val="17365D" w:themeColor="text2" w:themeShade="BF"/>
                <w:sz w:val="18"/>
                <w:szCs w:val="18"/>
              </w:rPr>
              <w:t>Tip</w:t>
            </w:r>
          </w:p>
        </w:tc>
        <w:tc>
          <w:tcPr>
            <w:tcW w:w="159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D4904" w:rsidRPr="001B0CDF" w:rsidRDefault="006D4904" w:rsidP="004D5580">
            <w:pPr>
              <w:jc w:val="both"/>
              <w:rPr>
                <w:rFonts w:ascii="Calibri" w:hAnsi="Calibri"/>
                <w:b/>
                <w:color w:val="17365D" w:themeColor="text2" w:themeShade="BF"/>
                <w:sz w:val="18"/>
                <w:szCs w:val="18"/>
              </w:rPr>
            </w:pPr>
            <w:r w:rsidRPr="001B0CDF">
              <w:rPr>
                <w:rFonts w:ascii="Calibri" w:hAnsi="Calibri"/>
                <w:b/>
                <w:color w:val="17365D" w:themeColor="text2" w:themeShade="BF"/>
                <w:sz w:val="18"/>
                <w:szCs w:val="18"/>
              </w:rPr>
              <w:t>Denumire indicator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D4904" w:rsidRPr="001B0CDF" w:rsidRDefault="006D4904" w:rsidP="004D5580">
            <w:pPr>
              <w:jc w:val="both"/>
              <w:rPr>
                <w:rFonts w:ascii="Calibri" w:hAnsi="Calibri"/>
                <w:b/>
                <w:color w:val="17365D" w:themeColor="text2" w:themeShade="BF"/>
                <w:sz w:val="18"/>
                <w:szCs w:val="18"/>
              </w:rPr>
            </w:pPr>
            <w:r w:rsidRPr="001B0CDF">
              <w:rPr>
                <w:rFonts w:ascii="Calibri" w:hAnsi="Calibri"/>
                <w:b/>
                <w:color w:val="17365D" w:themeColor="text2" w:themeShade="BF"/>
                <w:sz w:val="18"/>
                <w:szCs w:val="18"/>
              </w:rPr>
              <w:t>Definiția indicatorului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D4904" w:rsidRPr="001B0CDF" w:rsidRDefault="006D4904" w:rsidP="004D5580">
            <w:pPr>
              <w:jc w:val="both"/>
              <w:rPr>
                <w:rFonts w:ascii="Calibri" w:hAnsi="Calibri"/>
                <w:b/>
                <w:color w:val="17365D" w:themeColor="text2" w:themeShade="BF"/>
                <w:sz w:val="18"/>
                <w:szCs w:val="18"/>
              </w:rPr>
            </w:pPr>
            <w:r w:rsidRPr="001B0CDF">
              <w:rPr>
                <w:rFonts w:ascii="Calibri" w:hAnsi="Calibri"/>
                <w:b/>
                <w:color w:val="17365D" w:themeColor="text2" w:themeShade="BF"/>
                <w:sz w:val="18"/>
                <w:szCs w:val="18"/>
              </w:rPr>
              <w:t>Terminologie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D4904" w:rsidRPr="001B0CDF" w:rsidRDefault="006D4904" w:rsidP="004D5580">
            <w:pPr>
              <w:jc w:val="both"/>
              <w:rPr>
                <w:rFonts w:ascii="Calibri" w:hAnsi="Calibri"/>
                <w:b/>
                <w:color w:val="17365D" w:themeColor="text2" w:themeShade="BF"/>
                <w:sz w:val="18"/>
                <w:szCs w:val="18"/>
              </w:rPr>
            </w:pPr>
            <w:r>
              <w:rPr>
                <w:rFonts w:ascii="Calibri" w:hAnsi="Calibri"/>
                <w:b/>
                <w:color w:val="17365D" w:themeColor="text2" w:themeShade="BF"/>
                <w:sz w:val="18"/>
                <w:szCs w:val="18"/>
              </w:rPr>
              <w:t>Colectare și monitorizare</w:t>
            </w:r>
          </w:p>
        </w:tc>
      </w:tr>
      <w:tr w:rsidR="006D4904" w:rsidRPr="001B0CDF" w:rsidTr="002054E8">
        <w:trPr>
          <w:trHeight w:val="5908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D4904" w:rsidRPr="006D4904" w:rsidRDefault="006D4904" w:rsidP="004D558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4S5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D4904" w:rsidRPr="001B0CDF" w:rsidRDefault="006D4904" w:rsidP="004D5580">
            <w:pPr>
              <w:jc w:val="both"/>
              <w:rPr>
                <w:rFonts w:ascii="Calibri" w:hAnsi="Calibri"/>
                <w:b/>
                <w:color w:val="17365D" w:themeColor="text2" w:themeShade="BF"/>
                <w:sz w:val="18"/>
                <w:szCs w:val="18"/>
              </w:rPr>
            </w:pPr>
            <w:r w:rsidRPr="006D4904">
              <w:rPr>
                <w:rFonts w:ascii="Calibri" w:hAnsi="Calibri"/>
                <w:b/>
                <w:color w:val="17365D" w:themeColor="text2" w:themeShade="BF"/>
                <w:sz w:val="18"/>
                <w:szCs w:val="18"/>
              </w:rPr>
              <w:t>realizare</w:t>
            </w:r>
          </w:p>
        </w:tc>
        <w:tc>
          <w:tcPr>
            <w:tcW w:w="159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Tineri NEETs inactivi care beneficiază de sprijin în vederea înregistrării la SPO, din care:</w:t>
            </w:r>
          </w:p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Roma</w:t>
            </w:r>
          </w:p>
          <w:p w:rsidR="006D4904" w:rsidRP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din zona rurală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Acest indicator reprezintă numărul de persoane care au fost sprijinite direct în cadrul operațiunilor finanțate în contextul Obiectivului Specific 2.3 în vederea înregistrării la Agenția Națională de Ocupare a Forței de Muncă și care la data intrării în operațiunile FSE îndeplinesc cumulativ următoarele condiții:</w:t>
            </w:r>
          </w:p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au sub 25 de ani</w:t>
            </w:r>
          </w:p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au împlinit 16 ani</w:t>
            </w:r>
          </w:p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nu au un loc de muncă sau nu urmează niciun program educațional sau de formare</w:t>
            </w:r>
          </w:p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sunt inactivi conform definiţiei de mai jos</w:t>
            </w:r>
          </w:p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au rezidența/ domiciliul într-una una dintre cele 8 regiuni de dezvoltare din România: Nord-Est, Sud-Est, Sud-Muntenia, Sud-Vest, Centru, Vest, Nord-Vest, Bucureşti-Ilfov.</w:t>
            </w:r>
          </w:p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</w:p>
          <w:p w:rsidR="006D4904" w:rsidRP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  <w:r w:rsidRPr="006D4904">
              <w:rPr>
                <w:rFonts w:ascii="Calibri" w:hAnsi="Calibri"/>
                <w:color w:val="4F81BD" w:themeColor="accent1"/>
                <w:sz w:val="20"/>
                <w:szCs w:val="20"/>
              </w:rPr>
              <w:t>(NB Vârsta participantului este calculată la data intrării în operațiunea FSE)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D4904" w:rsidRPr="00235640" w:rsidRDefault="006D4904" w:rsidP="00E72737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„</w:t>
            </w:r>
            <w:r w:rsidRPr="00235640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Persoanele inactive</w:t>
            </w:r>
            <w:r w:rsidRPr="00235640">
              <w:rPr>
                <w:rFonts w:ascii="Calibri" w:hAnsi="Calibri"/>
                <w:color w:val="000000" w:themeColor="text1"/>
                <w:sz w:val="20"/>
                <w:szCs w:val="20"/>
              </w:rPr>
              <w:t>”</w:t>
            </w:r>
            <w:r w:rsidR="00E72737" w:rsidRPr="00235640">
              <w:rPr>
                <w:rFonts w:ascii="Calibri" w:hAnsi="Calibri"/>
                <w:color w:val="000000" w:themeColor="text1"/>
                <w:sz w:val="20"/>
                <w:szCs w:val="20"/>
              </w:rPr>
              <w:t>: persoanele care nu fac parte din forța de muncă (care nu sunt nici ocupate, nici șomere), dar care ar dori să intre pe piața muncii sau sunt dezavantajate dintr-un anumit punct de vedere</w:t>
            </w:r>
            <w:r w:rsidRPr="00235640">
              <w:rPr>
                <w:rFonts w:ascii="Calibri" w:hAnsi="Calibri"/>
                <w:color w:val="000000" w:themeColor="text1"/>
                <w:sz w:val="20"/>
                <w:szCs w:val="20"/>
              </w:rPr>
              <w:t>.</w:t>
            </w:r>
          </w:p>
          <w:p w:rsidR="006D4904" w:rsidRPr="00235640" w:rsidRDefault="006D4904" w:rsidP="006D4904">
            <w:pPr>
              <w:rPr>
                <w:rFonts w:ascii="Calibri" w:hAnsi="Calibri"/>
                <w:i/>
                <w:color w:val="000000" w:themeColor="text1"/>
                <w:sz w:val="20"/>
                <w:szCs w:val="20"/>
              </w:rPr>
            </w:pPr>
            <w:r w:rsidRPr="00235640">
              <w:rPr>
                <w:rFonts w:ascii="Calibri" w:hAnsi="Calibri"/>
                <w:i/>
                <w:color w:val="000000" w:themeColor="text1"/>
                <w:sz w:val="20"/>
                <w:szCs w:val="20"/>
              </w:rPr>
              <w:t xml:space="preserve">Sursa: </w:t>
            </w:r>
            <w:r w:rsidR="00E72737" w:rsidRPr="00235640">
              <w:rPr>
                <w:rFonts w:ascii="Calibri" w:hAnsi="Calibri"/>
                <w:i/>
                <w:color w:val="000000" w:themeColor="text1"/>
                <w:sz w:val="20"/>
                <w:szCs w:val="20"/>
              </w:rPr>
              <w:t>Eurostat</w:t>
            </w:r>
          </w:p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</w:p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“</w:t>
            </w:r>
            <w:r w:rsidRPr="006D4904">
              <w:rPr>
                <w:rFonts w:ascii="Calibri" w:hAnsi="Calibri"/>
                <w:b/>
                <w:sz w:val="20"/>
                <w:szCs w:val="20"/>
              </w:rPr>
              <w:t>Data intrării în operațiunea FSE</w:t>
            </w:r>
            <w:r>
              <w:rPr>
                <w:rFonts w:ascii="Calibri" w:hAnsi="Calibri"/>
                <w:sz w:val="20"/>
                <w:szCs w:val="20"/>
              </w:rPr>
              <w:t xml:space="preserve">” reprezintă „data la care persoana a beneficiat prima dată de sprijinul oferit prin operaţiune”. </w:t>
            </w:r>
          </w:p>
          <w:p w:rsidR="006D4904" w:rsidRPr="006D4904" w:rsidRDefault="006D4904" w:rsidP="006D4904">
            <w:pPr>
              <w:rPr>
                <w:rFonts w:ascii="Calibri" w:hAnsi="Calibri"/>
                <w:i/>
                <w:sz w:val="20"/>
                <w:szCs w:val="20"/>
              </w:rPr>
            </w:pPr>
            <w:r w:rsidRPr="006D4904">
              <w:rPr>
                <w:rFonts w:ascii="Calibri" w:hAnsi="Calibri"/>
                <w:i/>
                <w:sz w:val="20"/>
                <w:szCs w:val="20"/>
              </w:rPr>
              <w:t>Sursa: Anexa D – Orientare practică privind colectarea şi validarea datelor din orientările Comisiei Europene</w:t>
            </w:r>
          </w:p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</w:p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„</w:t>
            </w:r>
            <w:r w:rsidRPr="006D4904">
              <w:rPr>
                <w:rFonts w:ascii="Calibri" w:hAnsi="Calibri"/>
                <w:b/>
                <w:sz w:val="20"/>
                <w:szCs w:val="20"/>
              </w:rPr>
              <w:t>Operațiune</w:t>
            </w:r>
            <w:r>
              <w:rPr>
                <w:rFonts w:ascii="Calibri" w:hAnsi="Calibri"/>
                <w:sz w:val="20"/>
                <w:szCs w:val="20"/>
              </w:rPr>
              <w:t xml:space="preserve">” înseamnă un proiect, un contract, o acțiune sau un grup de proiecte selectate de autoritățile de management ale programelor în cauză sau sub responsabilitatea acestora, care contribuie la realizarea obiectivelor unei priorități sau unor priorități aferente; </w:t>
            </w:r>
          </w:p>
          <w:p w:rsidR="006D4904" w:rsidRPr="006D4904" w:rsidRDefault="006D4904" w:rsidP="006D4904">
            <w:pPr>
              <w:rPr>
                <w:rFonts w:ascii="Calibri" w:hAnsi="Calibri"/>
                <w:i/>
                <w:sz w:val="20"/>
                <w:szCs w:val="20"/>
              </w:rPr>
            </w:pPr>
            <w:r w:rsidRPr="006D4904">
              <w:rPr>
                <w:rFonts w:ascii="Calibri" w:hAnsi="Calibri"/>
                <w:i/>
                <w:sz w:val="20"/>
                <w:szCs w:val="20"/>
              </w:rPr>
              <w:t>Sursa: Regulament (UE) nr. 1303/2013 al Parlamentului European și al Consiliului din 17 decembrie 2013 de stabilire a unor dispoziții comune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DATELE VOR FI COLECTATE, MONITORIZATE ŞI RAPORTATE PENTRU URMĂTOARELE CATEGORII:</w:t>
            </w:r>
          </w:p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</w:p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„Persoane din zona rurală”: care domiciliază în zone rurale (sat/ comună) în conformitate cu Legea 351/2001 privind aprobarea Planului de amenajare a teritoriului naţional - Secţiunea IV Reţeaua de localităţi, Anexa I.</w:t>
            </w:r>
          </w:p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</w:p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”Persoane care aparţin minorităţii roma”: persoana care se declară ca aparţinând minorităţii roma şi care îndeplineşte cumulativ criteriile stabilite în cadrul definiţiei generale a indicatorului.</w:t>
            </w:r>
          </w:p>
        </w:tc>
      </w:tr>
      <w:tr w:rsidR="006D4904" w:rsidRPr="001B0CDF" w:rsidTr="002054E8">
        <w:trPr>
          <w:trHeight w:val="19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D4904" w:rsidRPr="006D4904" w:rsidRDefault="006D4904" w:rsidP="004D558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4S4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D4904" w:rsidRPr="001B0CDF" w:rsidRDefault="006D4904" w:rsidP="004D5580">
            <w:pPr>
              <w:jc w:val="both"/>
              <w:rPr>
                <w:rFonts w:ascii="Calibri" w:hAnsi="Calibri"/>
                <w:b/>
                <w:color w:val="17365D" w:themeColor="text2" w:themeShade="BF"/>
                <w:sz w:val="18"/>
                <w:szCs w:val="18"/>
              </w:rPr>
            </w:pPr>
            <w:r w:rsidRPr="006D4904">
              <w:rPr>
                <w:rFonts w:ascii="Calibri" w:hAnsi="Calibri"/>
                <w:b/>
                <w:color w:val="17365D" w:themeColor="text2" w:themeShade="BF"/>
                <w:sz w:val="18"/>
                <w:szCs w:val="18"/>
              </w:rPr>
              <w:t>rezultat imediat</w:t>
            </w:r>
          </w:p>
        </w:tc>
        <w:tc>
          <w:tcPr>
            <w:tcW w:w="159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Tinerii NEETs inactivi înregistraţi la SPO ca urmare a sprijinului furnizat, din care: </w:t>
            </w:r>
          </w:p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Roma </w:t>
            </w:r>
          </w:p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din zona rurală</w:t>
            </w:r>
          </w:p>
          <w:p w:rsidR="006D4904" w:rsidRPr="001B0CDF" w:rsidRDefault="006D4904" w:rsidP="006D4904">
            <w:pPr>
              <w:rPr>
                <w:rFonts w:ascii="Calibri" w:hAnsi="Calibri"/>
                <w:b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Acest indicator reprezintă numărul de persoane care au fost înregistrate la Agenția Națională de Ocupare a Forței de Muncă urmare a sprijinului direct primit în cadrul operațiunilor finanțate în contextul Obiectivului Specific 2.3 și care la data intrării în operațiunile FSE îndeplineau cumulativ următoarele criterii:</w:t>
            </w:r>
          </w:p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au sub 25 de ani</w:t>
            </w:r>
          </w:p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au împlinit 16 ani</w:t>
            </w:r>
          </w:p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nu au un loc de muncă sau nu urmează niciun program educațional sau de formare </w:t>
            </w:r>
          </w:p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sunt inactivi</w:t>
            </w:r>
          </w:p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au rezidența/ domiciliul într-una dintre cele 8 regiuni de dezvoltare din România: Nord-Est, Sud-Est, Sud-Muntenia, Sud-Vest, Centru, Vest, Nord-Vest, Bucureşti-Ilfov.</w:t>
            </w:r>
          </w:p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</w:p>
          <w:p w:rsidR="006D4904" w:rsidRP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  <w:r w:rsidRPr="006D4904">
              <w:rPr>
                <w:rFonts w:ascii="Calibri" w:hAnsi="Calibri"/>
                <w:color w:val="4F81BD" w:themeColor="accent1"/>
                <w:sz w:val="20"/>
                <w:szCs w:val="20"/>
              </w:rPr>
              <w:t>(NB Vârsta participantului este calculată la data intrării în operațiunea FSE)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72737" w:rsidRPr="00235640" w:rsidRDefault="006D4904" w:rsidP="00E72737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235640">
              <w:rPr>
                <w:rFonts w:ascii="Calibri" w:hAnsi="Calibri"/>
                <w:color w:val="000000" w:themeColor="text1"/>
                <w:sz w:val="20"/>
                <w:szCs w:val="20"/>
              </w:rPr>
              <w:t>„</w:t>
            </w:r>
            <w:r w:rsidRPr="00235640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Persoanele inactive</w:t>
            </w:r>
            <w:r w:rsidRPr="0023564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” </w:t>
            </w:r>
            <w:r w:rsidR="00E72737" w:rsidRPr="00235640">
              <w:rPr>
                <w:rFonts w:ascii="Calibri" w:hAnsi="Calibri"/>
                <w:color w:val="000000" w:themeColor="text1"/>
                <w:sz w:val="20"/>
                <w:szCs w:val="20"/>
              </w:rPr>
              <w:t>: persoanele care nu fac parte din forța de muncă (care nu sunt nici ocupate, nici șomere), dar care ar dori să intre pe piața muncii sau sunt dezavantajate dintr-un anumit punct de vedere.</w:t>
            </w:r>
          </w:p>
          <w:p w:rsidR="006D4904" w:rsidRPr="00235640" w:rsidRDefault="006D4904" w:rsidP="006D4904">
            <w:pPr>
              <w:rPr>
                <w:rFonts w:ascii="Calibri" w:hAnsi="Calibri"/>
                <w:i/>
                <w:color w:val="000000" w:themeColor="text1"/>
                <w:sz w:val="20"/>
                <w:szCs w:val="20"/>
              </w:rPr>
            </w:pPr>
            <w:r w:rsidRPr="00235640">
              <w:rPr>
                <w:rFonts w:ascii="Calibri" w:hAnsi="Calibri"/>
                <w:i/>
                <w:color w:val="000000" w:themeColor="text1"/>
                <w:sz w:val="20"/>
                <w:szCs w:val="20"/>
              </w:rPr>
              <w:t xml:space="preserve">Sursa: </w:t>
            </w:r>
            <w:r w:rsidR="00E72737" w:rsidRPr="00235640">
              <w:rPr>
                <w:rFonts w:ascii="Calibri" w:hAnsi="Calibri"/>
                <w:i/>
                <w:color w:val="000000" w:themeColor="text1"/>
                <w:sz w:val="20"/>
                <w:szCs w:val="20"/>
              </w:rPr>
              <w:t>Eurostat</w:t>
            </w:r>
          </w:p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</w:p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“</w:t>
            </w:r>
            <w:r w:rsidRPr="006D4904">
              <w:rPr>
                <w:rFonts w:ascii="Calibri" w:hAnsi="Calibri"/>
                <w:b/>
                <w:sz w:val="20"/>
                <w:szCs w:val="20"/>
              </w:rPr>
              <w:t>Data intrării în operațiunea FSE</w:t>
            </w:r>
            <w:r>
              <w:rPr>
                <w:rFonts w:ascii="Calibri" w:hAnsi="Calibri"/>
                <w:sz w:val="20"/>
                <w:szCs w:val="20"/>
              </w:rPr>
              <w:t xml:space="preserve">” reprezintă „data la care persoana a beneficiat prima dată de sprijinul oferit prin operaţiune”. </w:t>
            </w:r>
          </w:p>
          <w:p w:rsidR="006D4904" w:rsidRPr="006D4904" w:rsidRDefault="006D4904" w:rsidP="006D4904">
            <w:pPr>
              <w:rPr>
                <w:rFonts w:ascii="Calibri" w:hAnsi="Calibri"/>
                <w:i/>
                <w:sz w:val="20"/>
                <w:szCs w:val="20"/>
              </w:rPr>
            </w:pPr>
            <w:r w:rsidRPr="006D4904">
              <w:rPr>
                <w:rFonts w:ascii="Calibri" w:hAnsi="Calibri"/>
                <w:i/>
                <w:sz w:val="20"/>
                <w:szCs w:val="20"/>
              </w:rPr>
              <w:t>Sursa: Anexa D – Orientare practică privind colectarea şi validarea datelor din orientările Comisiei Europene</w:t>
            </w:r>
          </w:p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</w:p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„</w:t>
            </w:r>
            <w:r w:rsidRPr="006D4904">
              <w:rPr>
                <w:rFonts w:ascii="Calibri" w:hAnsi="Calibri"/>
                <w:b/>
                <w:sz w:val="20"/>
                <w:szCs w:val="20"/>
              </w:rPr>
              <w:t>Operațiune</w:t>
            </w:r>
            <w:bookmarkStart w:id="0" w:name="_GoBack"/>
            <w:bookmarkEnd w:id="0"/>
            <w:r>
              <w:rPr>
                <w:rFonts w:ascii="Calibri" w:hAnsi="Calibri"/>
                <w:sz w:val="20"/>
                <w:szCs w:val="20"/>
              </w:rPr>
              <w:t xml:space="preserve">” înseamnă un proiect, un contract, o acțiune sau un grup de proiecte selectate de autoritățile de management ale programelor în cauză sau sub responsabilitatea acestora, care contribuie la realizarea obiectivelor unei priorități sau unor priorități aferente; </w:t>
            </w:r>
          </w:p>
          <w:p w:rsidR="006D4904" w:rsidRPr="006D4904" w:rsidRDefault="006D4904" w:rsidP="006D4904">
            <w:pPr>
              <w:rPr>
                <w:rFonts w:ascii="Calibri" w:hAnsi="Calibri"/>
                <w:i/>
                <w:sz w:val="20"/>
                <w:szCs w:val="20"/>
              </w:rPr>
            </w:pPr>
            <w:r w:rsidRPr="006D4904">
              <w:rPr>
                <w:rFonts w:ascii="Calibri" w:hAnsi="Calibri"/>
                <w:i/>
                <w:sz w:val="20"/>
                <w:szCs w:val="20"/>
              </w:rPr>
              <w:t>Sursa: Regulament (UE) nr. 1303/2013 al Parlamentului European și al Consiliului din 17 decembrie 2013 de stabilire a unor dispoziții comune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DATELE VOR FI COLECTATE, MONITORIZATE ŞI RAPORTATE PENTRU URMĂTOARELE CATEGORII:</w:t>
            </w:r>
          </w:p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</w:p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„</w:t>
            </w:r>
            <w:r w:rsidRPr="006D4904">
              <w:rPr>
                <w:rFonts w:ascii="Calibri" w:hAnsi="Calibri"/>
                <w:b/>
                <w:sz w:val="20"/>
                <w:szCs w:val="20"/>
              </w:rPr>
              <w:t>Persoane din zona rurală</w:t>
            </w:r>
            <w:r>
              <w:rPr>
                <w:rFonts w:ascii="Calibri" w:hAnsi="Calibri"/>
                <w:sz w:val="20"/>
                <w:szCs w:val="20"/>
              </w:rPr>
              <w:t>”: care domiciliază în zone rurale (sat/ comună) în conformitate cu Legea 351/2001 privind aprobarea Planului de amenajare a teritoriului naţional - Secţiunea IV Reţeaua de localităţi, Anexa I.</w:t>
            </w:r>
          </w:p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</w:p>
          <w:p w:rsidR="006D4904" w:rsidRDefault="006D4904" w:rsidP="006D490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”</w:t>
            </w:r>
            <w:r w:rsidRPr="006D4904">
              <w:rPr>
                <w:rFonts w:ascii="Calibri" w:hAnsi="Calibri"/>
                <w:b/>
                <w:sz w:val="20"/>
                <w:szCs w:val="20"/>
              </w:rPr>
              <w:t>Persoane care aparţin minorităţii roma</w:t>
            </w:r>
            <w:r>
              <w:rPr>
                <w:rFonts w:ascii="Calibri" w:hAnsi="Calibri"/>
                <w:sz w:val="20"/>
                <w:szCs w:val="20"/>
              </w:rPr>
              <w:t>”: persoana care se declară ca aparţinând minorităţii roma şi care îndeplineşte cumulativ criteriile stabilite în cadrul definiţiei generale a indicatorului.</w:t>
            </w:r>
          </w:p>
        </w:tc>
      </w:tr>
    </w:tbl>
    <w:p w:rsidR="00046A51" w:rsidRPr="009208F8" w:rsidRDefault="00046A51" w:rsidP="008C274B">
      <w:pPr>
        <w:jc w:val="both"/>
        <w:rPr>
          <w:rFonts w:ascii="Calibri" w:hAnsi="Calibri"/>
          <w:color w:val="17365D" w:themeColor="text2" w:themeShade="BF"/>
        </w:rPr>
      </w:pPr>
    </w:p>
    <w:sectPr w:rsidR="00046A51" w:rsidRPr="009208F8" w:rsidSect="002054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9" w:h="11907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003" w:rsidRDefault="00010003" w:rsidP="00321234">
      <w:pPr>
        <w:spacing w:after="0" w:line="240" w:lineRule="auto"/>
      </w:pPr>
      <w:r>
        <w:separator/>
      </w:r>
    </w:p>
  </w:endnote>
  <w:endnote w:type="continuationSeparator" w:id="0">
    <w:p w:rsidR="00010003" w:rsidRDefault="00010003" w:rsidP="0032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FAF" w:rsidRDefault="00D16FA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EFF" w:rsidRPr="000A046E" w:rsidRDefault="00010003" w:rsidP="00D16FAF">
    <w:pPr>
      <w:pStyle w:val="Footer"/>
      <w:jc w:val="right"/>
      <w:rPr>
        <w:b/>
      </w:rPr>
    </w:pPr>
    <w:sdt>
      <w:sdtPr>
        <w:id w:val="-1127699844"/>
        <w:docPartObj>
          <w:docPartGallery w:val="Page Numbers (Bottom of Page)"/>
          <w:docPartUnique/>
        </w:docPartObj>
      </w:sdtPr>
      <w:sdtEndPr>
        <w:rPr>
          <w:b/>
        </w:rPr>
      </w:sdtEndPr>
      <w:sdtContent>
        <w:r w:rsidR="00D16FAF">
          <w:tab/>
        </w:r>
        <w:r w:rsidR="00D16FAF">
          <w:tab/>
        </w:r>
        <w:r w:rsidR="00F83EFF" w:rsidRPr="000A046E">
          <w:rPr>
            <w:b/>
          </w:rPr>
          <w:fldChar w:fldCharType="begin"/>
        </w:r>
        <w:r w:rsidR="00F83EFF" w:rsidRPr="000A046E">
          <w:rPr>
            <w:b/>
          </w:rPr>
          <w:instrText>PAGE   \* MERGEFORMAT</w:instrText>
        </w:r>
        <w:r w:rsidR="00F83EFF" w:rsidRPr="000A046E">
          <w:rPr>
            <w:b/>
          </w:rPr>
          <w:fldChar w:fldCharType="separate"/>
        </w:r>
        <w:r w:rsidR="00235640">
          <w:rPr>
            <w:b/>
            <w:noProof/>
          </w:rPr>
          <w:t>1</w:t>
        </w:r>
        <w:r w:rsidR="00F83EFF" w:rsidRPr="000A046E">
          <w:rPr>
            <w:b/>
          </w:rPr>
          <w:fldChar w:fldCharType="end"/>
        </w:r>
      </w:sdtContent>
    </w:sdt>
    <w:r w:rsidR="00D16FAF">
      <w:rPr>
        <w:b/>
      </w:rPr>
      <w:tab/>
    </w:r>
  </w:p>
  <w:p w:rsidR="00D16FAF" w:rsidRPr="009334AB" w:rsidRDefault="00D16FAF" w:rsidP="00D16FAF">
    <w:pPr>
      <w:pStyle w:val="Footer"/>
      <w:jc w:val="center"/>
      <w:rPr>
        <w:rFonts w:ascii="Calibri" w:hAnsi="Calibri"/>
        <w:color w:val="002060"/>
        <w:sz w:val="18"/>
        <w:szCs w:val="18"/>
      </w:rPr>
    </w:pPr>
    <w:r w:rsidRPr="009334AB">
      <w:rPr>
        <w:rFonts w:ascii="Calibri" w:hAnsi="Calibri"/>
        <w:color w:val="002060"/>
        <w:sz w:val="18"/>
        <w:szCs w:val="18"/>
      </w:rPr>
      <w:t>Ghidul Solicitantului – Condiții Specifice</w:t>
    </w:r>
  </w:p>
  <w:p w:rsidR="00F83EFF" w:rsidRPr="00D16FAF" w:rsidRDefault="00D16FAF" w:rsidP="00D16FAF">
    <w:pPr>
      <w:spacing w:after="0" w:line="240" w:lineRule="auto"/>
      <w:jc w:val="center"/>
      <w:rPr>
        <w:sz w:val="18"/>
        <w:szCs w:val="18"/>
      </w:rPr>
    </w:pPr>
    <w:r w:rsidRPr="000C44A2">
      <w:rPr>
        <w:i/>
        <w:color w:val="002060"/>
        <w:sz w:val="18"/>
        <w:szCs w:val="18"/>
      </w:rPr>
      <w:t>Înregistrarea la Serviciul Public de Ocupare a tinerilor NEETs inactivi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FAF" w:rsidRDefault="00D16F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003" w:rsidRDefault="00010003" w:rsidP="00321234">
      <w:pPr>
        <w:spacing w:after="0" w:line="240" w:lineRule="auto"/>
      </w:pPr>
      <w:r>
        <w:separator/>
      </w:r>
    </w:p>
  </w:footnote>
  <w:footnote w:type="continuationSeparator" w:id="0">
    <w:p w:rsidR="00010003" w:rsidRDefault="00010003" w:rsidP="00321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FAF" w:rsidRDefault="00D16FA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FAF" w:rsidRDefault="00D16FA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FAF" w:rsidRDefault="00D16FA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name w:val="WWNum22"/>
    <w:lvl w:ilvl="0">
      <w:start w:val="1"/>
      <w:numFmt w:val="bullet"/>
      <w:lvlText w:val=""/>
      <w:lvlJc w:val="left"/>
      <w:pPr>
        <w:tabs>
          <w:tab w:val="num" w:pos="-360"/>
        </w:tabs>
        <w:ind w:left="360" w:hanging="360"/>
      </w:pPr>
      <w:rPr>
        <w:rFonts w:ascii="Wingdings 3" w:hAnsi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>
    <w:nsid w:val="04FA0790"/>
    <w:multiLevelType w:val="hybridMultilevel"/>
    <w:tmpl w:val="A59821D2"/>
    <w:lvl w:ilvl="0" w:tplc="7FE0303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51229"/>
    <w:multiLevelType w:val="hybridMultilevel"/>
    <w:tmpl w:val="C0AE7FE8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BB78CD"/>
    <w:multiLevelType w:val="hybridMultilevel"/>
    <w:tmpl w:val="241EF1A4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786384"/>
    <w:multiLevelType w:val="hybridMultilevel"/>
    <w:tmpl w:val="382C602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F94413"/>
    <w:multiLevelType w:val="hybridMultilevel"/>
    <w:tmpl w:val="8E08678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D602FA"/>
    <w:multiLevelType w:val="hybridMultilevel"/>
    <w:tmpl w:val="D326FA2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862667E"/>
    <w:multiLevelType w:val="hybridMultilevel"/>
    <w:tmpl w:val="7F9015B2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F0C1A56"/>
    <w:multiLevelType w:val="hybridMultilevel"/>
    <w:tmpl w:val="26ACE58C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F44781D"/>
    <w:multiLevelType w:val="hybridMultilevel"/>
    <w:tmpl w:val="2132E494"/>
    <w:lvl w:ilvl="0" w:tplc="8D30E2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376EDE"/>
    <w:multiLevelType w:val="hybridMultilevel"/>
    <w:tmpl w:val="155229A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FE7E89"/>
    <w:multiLevelType w:val="hybridMultilevel"/>
    <w:tmpl w:val="2116A456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64B1814"/>
    <w:multiLevelType w:val="hybridMultilevel"/>
    <w:tmpl w:val="C750FEA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3FE37E2"/>
    <w:multiLevelType w:val="hybridMultilevel"/>
    <w:tmpl w:val="CD12CE40"/>
    <w:lvl w:ilvl="0" w:tplc="EF80A8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32D3536"/>
    <w:multiLevelType w:val="hybridMultilevel"/>
    <w:tmpl w:val="4D5AE446"/>
    <w:lvl w:ilvl="0" w:tplc="EF40087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32D3BC4"/>
    <w:multiLevelType w:val="hybridMultilevel"/>
    <w:tmpl w:val="3F96E888"/>
    <w:lvl w:ilvl="0" w:tplc="309888FE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BFE7119"/>
    <w:multiLevelType w:val="hybridMultilevel"/>
    <w:tmpl w:val="10085704"/>
    <w:lvl w:ilvl="0" w:tplc="EF4008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492911"/>
    <w:multiLevelType w:val="hybridMultilevel"/>
    <w:tmpl w:val="3F004212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5D56DEA"/>
    <w:multiLevelType w:val="hybridMultilevel"/>
    <w:tmpl w:val="05B2D276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6191DAF"/>
    <w:multiLevelType w:val="hybridMultilevel"/>
    <w:tmpl w:val="F9024ED4"/>
    <w:lvl w:ilvl="0" w:tplc="EF4008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4A510D"/>
    <w:multiLevelType w:val="hybridMultilevel"/>
    <w:tmpl w:val="32C060B8"/>
    <w:lvl w:ilvl="0" w:tplc="3B769C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31D7323"/>
    <w:multiLevelType w:val="hybridMultilevel"/>
    <w:tmpl w:val="176CD4A2"/>
    <w:lvl w:ilvl="0" w:tplc="0BDE9972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4DF6076"/>
    <w:multiLevelType w:val="hybridMultilevel"/>
    <w:tmpl w:val="AA340C9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A862903"/>
    <w:multiLevelType w:val="hybridMultilevel"/>
    <w:tmpl w:val="9BB2692E"/>
    <w:lvl w:ilvl="0" w:tplc="EF4008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BD7248"/>
    <w:multiLevelType w:val="hybridMultilevel"/>
    <w:tmpl w:val="FACE4A9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FEE270B"/>
    <w:multiLevelType w:val="hybridMultilevel"/>
    <w:tmpl w:val="F2D69D88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18"/>
  </w:num>
  <w:num w:numId="4">
    <w:abstractNumId w:val="6"/>
  </w:num>
  <w:num w:numId="5">
    <w:abstractNumId w:val="3"/>
  </w:num>
  <w:num w:numId="6">
    <w:abstractNumId w:val="0"/>
  </w:num>
  <w:num w:numId="7">
    <w:abstractNumId w:val="13"/>
  </w:num>
  <w:num w:numId="8">
    <w:abstractNumId w:val="8"/>
  </w:num>
  <w:num w:numId="9">
    <w:abstractNumId w:val="20"/>
  </w:num>
  <w:num w:numId="10">
    <w:abstractNumId w:val="9"/>
  </w:num>
  <w:num w:numId="11">
    <w:abstractNumId w:val="24"/>
  </w:num>
  <w:num w:numId="12">
    <w:abstractNumId w:val="21"/>
  </w:num>
  <w:num w:numId="13">
    <w:abstractNumId w:val="7"/>
  </w:num>
  <w:num w:numId="14">
    <w:abstractNumId w:val="1"/>
  </w:num>
  <w:num w:numId="15">
    <w:abstractNumId w:val="2"/>
  </w:num>
  <w:num w:numId="16">
    <w:abstractNumId w:val="15"/>
  </w:num>
  <w:num w:numId="17">
    <w:abstractNumId w:val="5"/>
  </w:num>
  <w:num w:numId="18">
    <w:abstractNumId w:val="19"/>
  </w:num>
  <w:num w:numId="19">
    <w:abstractNumId w:val="14"/>
  </w:num>
  <w:num w:numId="20">
    <w:abstractNumId w:val="22"/>
  </w:num>
  <w:num w:numId="21">
    <w:abstractNumId w:val="25"/>
  </w:num>
  <w:num w:numId="22">
    <w:abstractNumId w:val="23"/>
  </w:num>
  <w:num w:numId="23">
    <w:abstractNumId w:val="11"/>
  </w:num>
  <w:num w:numId="24">
    <w:abstractNumId w:val="10"/>
  </w:num>
  <w:num w:numId="25">
    <w:abstractNumId w:val="16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A51"/>
    <w:rsid w:val="00000117"/>
    <w:rsid w:val="00007F33"/>
    <w:rsid w:val="00010003"/>
    <w:rsid w:val="0001314C"/>
    <w:rsid w:val="000241B2"/>
    <w:rsid w:val="00037F36"/>
    <w:rsid w:val="00037FA4"/>
    <w:rsid w:val="00046A51"/>
    <w:rsid w:val="00046A81"/>
    <w:rsid w:val="00060F74"/>
    <w:rsid w:val="00064B86"/>
    <w:rsid w:val="000739F0"/>
    <w:rsid w:val="00076143"/>
    <w:rsid w:val="000A046E"/>
    <w:rsid w:val="000C7D06"/>
    <w:rsid w:val="001005BA"/>
    <w:rsid w:val="001115B4"/>
    <w:rsid w:val="00134D20"/>
    <w:rsid w:val="001510E6"/>
    <w:rsid w:val="00154579"/>
    <w:rsid w:val="00157B25"/>
    <w:rsid w:val="001604DA"/>
    <w:rsid w:val="00161E8F"/>
    <w:rsid w:val="00162487"/>
    <w:rsid w:val="0017105C"/>
    <w:rsid w:val="001821B4"/>
    <w:rsid w:val="001A3B84"/>
    <w:rsid w:val="001B088E"/>
    <w:rsid w:val="001B0CDF"/>
    <w:rsid w:val="001B6D11"/>
    <w:rsid w:val="001D3355"/>
    <w:rsid w:val="001F6CB3"/>
    <w:rsid w:val="00201824"/>
    <w:rsid w:val="002054E8"/>
    <w:rsid w:val="0023134A"/>
    <w:rsid w:val="00235640"/>
    <w:rsid w:val="0025646C"/>
    <w:rsid w:val="002616A7"/>
    <w:rsid w:val="00274EF7"/>
    <w:rsid w:val="00297157"/>
    <w:rsid w:val="002A5F0F"/>
    <w:rsid w:val="002A63C3"/>
    <w:rsid w:val="002C3357"/>
    <w:rsid w:val="002D3618"/>
    <w:rsid w:val="002E5906"/>
    <w:rsid w:val="002F4BDB"/>
    <w:rsid w:val="002F4D81"/>
    <w:rsid w:val="00321234"/>
    <w:rsid w:val="0032146F"/>
    <w:rsid w:val="00330E58"/>
    <w:rsid w:val="0036580B"/>
    <w:rsid w:val="003B3CE1"/>
    <w:rsid w:val="003B7D5F"/>
    <w:rsid w:val="003D4CD8"/>
    <w:rsid w:val="003D6F7A"/>
    <w:rsid w:val="003E6DD9"/>
    <w:rsid w:val="003F77F1"/>
    <w:rsid w:val="00402A1A"/>
    <w:rsid w:val="00405543"/>
    <w:rsid w:val="004072E3"/>
    <w:rsid w:val="004355F4"/>
    <w:rsid w:val="004371A5"/>
    <w:rsid w:val="00452FA0"/>
    <w:rsid w:val="00486ECB"/>
    <w:rsid w:val="0049752A"/>
    <w:rsid w:val="004A3D0F"/>
    <w:rsid w:val="004A7389"/>
    <w:rsid w:val="004C511A"/>
    <w:rsid w:val="004D1A76"/>
    <w:rsid w:val="004D5580"/>
    <w:rsid w:val="004D6EF8"/>
    <w:rsid w:val="005070C6"/>
    <w:rsid w:val="00557C2F"/>
    <w:rsid w:val="0057480C"/>
    <w:rsid w:val="005A01EC"/>
    <w:rsid w:val="005B4651"/>
    <w:rsid w:val="005C4140"/>
    <w:rsid w:val="005C65C7"/>
    <w:rsid w:val="005D1224"/>
    <w:rsid w:val="005D1BB2"/>
    <w:rsid w:val="005E3486"/>
    <w:rsid w:val="005E628B"/>
    <w:rsid w:val="005F2822"/>
    <w:rsid w:val="00620E85"/>
    <w:rsid w:val="00621461"/>
    <w:rsid w:val="00695171"/>
    <w:rsid w:val="0069769E"/>
    <w:rsid w:val="006C699B"/>
    <w:rsid w:val="006C7854"/>
    <w:rsid w:val="006D3494"/>
    <w:rsid w:val="006D4904"/>
    <w:rsid w:val="006E05C7"/>
    <w:rsid w:val="007237BE"/>
    <w:rsid w:val="00773142"/>
    <w:rsid w:val="00793399"/>
    <w:rsid w:val="007C405A"/>
    <w:rsid w:val="007E2F3A"/>
    <w:rsid w:val="008018ED"/>
    <w:rsid w:val="00803B33"/>
    <w:rsid w:val="008233FB"/>
    <w:rsid w:val="00823B4D"/>
    <w:rsid w:val="008252D4"/>
    <w:rsid w:val="008350C0"/>
    <w:rsid w:val="00854121"/>
    <w:rsid w:val="00854898"/>
    <w:rsid w:val="00862843"/>
    <w:rsid w:val="0087640C"/>
    <w:rsid w:val="00876A67"/>
    <w:rsid w:val="008A38A0"/>
    <w:rsid w:val="008B7E5B"/>
    <w:rsid w:val="008C274B"/>
    <w:rsid w:val="008C4C3D"/>
    <w:rsid w:val="008D1CAB"/>
    <w:rsid w:val="008D2D13"/>
    <w:rsid w:val="008D759E"/>
    <w:rsid w:val="008E20F2"/>
    <w:rsid w:val="008E46F1"/>
    <w:rsid w:val="008F1A39"/>
    <w:rsid w:val="008F27F9"/>
    <w:rsid w:val="008F2F8B"/>
    <w:rsid w:val="008F4AD9"/>
    <w:rsid w:val="009208F8"/>
    <w:rsid w:val="00923077"/>
    <w:rsid w:val="009940BE"/>
    <w:rsid w:val="00A31973"/>
    <w:rsid w:val="00A54295"/>
    <w:rsid w:val="00AA1824"/>
    <w:rsid w:val="00AA19E4"/>
    <w:rsid w:val="00AC3A2C"/>
    <w:rsid w:val="00AC5CAD"/>
    <w:rsid w:val="00AD444C"/>
    <w:rsid w:val="00AD7EB8"/>
    <w:rsid w:val="00AE3D62"/>
    <w:rsid w:val="00AF3E6C"/>
    <w:rsid w:val="00AF5D0A"/>
    <w:rsid w:val="00B170D3"/>
    <w:rsid w:val="00B20564"/>
    <w:rsid w:val="00B251B4"/>
    <w:rsid w:val="00B327CA"/>
    <w:rsid w:val="00B46655"/>
    <w:rsid w:val="00B52B09"/>
    <w:rsid w:val="00B670C6"/>
    <w:rsid w:val="00B71443"/>
    <w:rsid w:val="00B76A8B"/>
    <w:rsid w:val="00BA362B"/>
    <w:rsid w:val="00BA52E2"/>
    <w:rsid w:val="00BC43B2"/>
    <w:rsid w:val="00BC48C0"/>
    <w:rsid w:val="00BD02D7"/>
    <w:rsid w:val="00BE1256"/>
    <w:rsid w:val="00BE3F68"/>
    <w:rsid w:val="00C053AF"/>
    <w:rsid w:val="00C10518"/>
    <w:rsid w:val="00C1055A"/>
    <w:rsid w:val="00C22ECD"/>
    <w:rsid w:val="00C255A0"/>
    <w:rsid w:val="00C30B3E"/>
    <w:rsid w:val="00C771FF"/>
    <w:rsid w:val="00C803AC"/>
    <w:rsid w:val="00C936E2"/>
    <w:rsid w:val="00CB11B8"/>
    <w:rsid w:val="00CD6BEA"/>
    <w:rsid w:val="00CE4E2D"/>
    <w:rsid w:val="00CE6F37"/>
    <w:rsid w:val="00D16FAF"/>
    <w:rsid w:val="00D30CCE"/>
    <w:rsid w:val="00D3150D"/>
    <w:rsid w:val="00D60850"/>
    <w:rsid w:val="00D67C0F"/>
    <w:rsid w:val="00D716CA"/>
    <w:rsid w:val="00D71EDD"/>
    <w:rsid w:val="00D80E45"/>
    <w:rsid w:val="00DA4B4C"/>
    <w:rsid w:val="00DB489A"/>
    <w:rsid w:val="00DB6EEE"/>
    <w:rsid w:val="00DC1D80"/>
    <w:rsid w:val="00DE5B9A"/>
    <w:rsid w:val="00E02972"/>
    <w:rsid w:val="00E45EC3"/>
    <w:rsid w:val="00E72737"/>
    <w:rsid w:val="00E733A7"/>
    <w:rsid w:val="00E76C6C"/>
    <w:rsid w:val="00E86C95"/>
    <w:rsid w:val="00EE02B5"/>
    <w:rsid w:val="00EF0F27"/>
    <w:rsid w:val="00EF488A"/>
    <w:rsid w:val="00EF7B48"/>
    <w:rsid w:val="00F37818"/>
    <w:rsid w:val="00F41BA5"/>
    <w:rsid w:val="00F718BB"/>
    <w:rsid w:val="00F83EFF"/>
    <w:rsid w:val="00F92FDC"/>
    <w:rsid w:val="00FC106D"/>
    <w:rsid w:val="00FC21CE"/>
    <w:rsid w:val="00FD443F"/>
    <w:rsid w:val="00FD7544"/>
    <w:rsid w:val="00FE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40C"/>
  </w:style>
  <w:style w:type="paragraph" w:styleId="Heading1">
    <w:name w:val="heading 1"/>
    <w:basedOn w:val="Normal"/>
    <w:next w:val="Normal"/>
    <w:link w:val="Heading1Char"/>
    <w:uiPriority w:val="9"/>
    <w:qFormat/>
    <w:rsid w:val="00330E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7640C"/>
    <w:rPr>
      <w:b/>
      <w:bCs/>
    </w:rPr>
  </w:style>
  <w:style w:type="character" w:styleId="Emphasis">
    <w:name w:val="Emphasis"/>
    <w:basedOn w:val="DefaultParagraphFont"/>
    <w:uiPriority w:val="20"/>
    <w:qFormat/>
    <w:rsid w:val="0087640C"/>
    <w:rPr>
      <w:i/>
      <w:iCs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34"/>
    <w:qFormat/>
    <w:rsid w:val="0087640C"/>
    <w:pPr>
      <w:ind w:left="720"/>
      <w:contextualSpacing/>
    </w:pPr>
    <w:rPr>
      <w:rFonts w:cs="Times New Roman"/>
    </w:rPr>
  </w:style>
  <w:style w:type="table" w:styleId="TableGrid">
    <w:name w:val="Table Grid"/>
    <w:basedOn w:val="TableNormal"/>
    <w:uiPriority w:val="59"/>
    <w:rsid w:val="00046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2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F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1234"/>
  </w:style>
  <w:style w:type="paragraph" w:styleId="Footer">
    <w:name w:val="footer"/>
    <w:basedOn w:val="Normal"/>
    <w:link w:val="FooterCha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1234"/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uiPriority w:val="34"/>
    <w:rsid w:val="005A01EC"/>
    <w:rPr>
      <w:rFonts w:cs="Times New Roman"/>
    </w:rPr>
  </w:style>
  <w:style w:type="character" w:styleId="Hyperlink">
    <w:name w:val="Hyperlink"/>
    <w:uiPriority w:val="99"/>
    <w:rsid w:val="008350C0"/>
    <w:rPr>
      <w:color w:val="0563C1"/>
      <w:u w:val="single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8350C0"/>
    <w:pPr>
      <w:suppressLineNumbers/>
      <w:suppressAutoHyphens/>
      <w:spacing w:after="0" w:line="100" w:lineRule="atLeast"/>
      <w:ind w:left="283" w:hanging="283"/>
    </w:pPr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8350C0"/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330E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FootnoteReference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link w:val="BVIfnrChar1Char"/>
    <w:uiPriority w:val="99"/>
    <w:qFormat/>
    <w:rsid w:val="00F3781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uiPriority w:val="99"/>
    <w:qFormat/>
    <w:rsid w:val="00F37818"/>
    <w:pPr>
      <w:spacing w:after="160" w:line="240" w:lineRule="exact"/>
    </w:pPr>
    <w:rPr>
      <w:vertAlign w:val="superscript"/>
    </w:rPr>
  </w:style>
  <w:style w:type="paragraph" w:styleId="BodyText">
    <w:name w:val="Body Text"/>
    <w:basedOn w:val="Normal"/>
    <w:link w:val="BodyTextChar"/>
    <w:uiPriority w:val="99"/>
    <w:unhideWhenUsed/>
    <w:rsid w:val="00B52B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52B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40C"/>
  </w:style>
  <w:style w:type="paragraph" w:styleId="Heading1">
    <w:name w:val="heading 1"/>
    <w:basedOn w:val="Normal"/>
    <w:next w:val="Normal"/>
    <w:link w:val="Heading1Char"/>
    <w:uiPriority w:val="9"/>
    <w:qFormat/>
    <w:rsid w:val="00330E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7640C"/>
    <w:rPr>
      <w:b/>
      <w:bCs/>
    </w:rPr>
  </w:style>
  <w:style w:type="character" w:styleId="Emphasis">
    <w:name w:val="Emphasis"/>
    <w:basedOn w:val="DefaultParagraphFont"/>
    <w:uiPriority w:val="20"/>
    <w:qFormat/>
    <w:rsid w:val="0087640C"/>
    <w:rPr>
      <w:i/>
      <w:iCs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34"/>
    <w:qFormat/>
    <w:rsid w:val="0087640C"/>
    <w:pPr>
      <w:ind w:left="720"/>
      <w:contextualSpacing/>
    </w:pPr>
    <w:rPr>
      <w:rFonts w:cs="Times New Roman"/>
    </w:rPr>
  </w:style>
  <w:style w:type="table" w:styleId="TableGrid">
    <w:name w:val="Table Grid"/>
    <w:basedOn w:val="TableNormal"/>
    <w:uiPriority w:val="59"/>
    <w:rsid w:val="00046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2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F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1234"/>
  </w:style>
  <w:style w:type="paragraph" w:styleId="Footer">
    <w:name w:val="footer"/>
    <w:basedOn w:val="Normal"/>
    <w:link w:val="FooterCha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1234"/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uiPriority w:val="34"/>
    <w:rsid w:val="005A01EC"/>
    <w:rPr>
      <w:rFonts w:cs="Times New Roman"/>
    </w:rPr>
  </w:style>
  <w:style w:type="character" w:styleId="Hyperlink">
    <w:name w:val="Hyperlink"/>
    <w:uiPriority w:val="99"/>
    <w:rsid w:val="008350C0"/>
    <w:rPr>
      <w:color w:val="0563C1"/>
      <w:u w:val="single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8350C0"/>
    <w:pPr>
      <w:suppressLineNumbers/>
      <w:suppressAutoHyphens/>
      <w:spacing w:after="0" w:line="100" w:lineRule="atLeast"/>
      <w:ind w:left="283" w:hanging="283"/>
    </w:pPr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8350C0"/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330E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FootnoteReference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link w:val="BVIfnrChar1Char"/>
    <w:uiPriority w:val="99"/>
    <w:qFormat/>
    <w:rsid w:val="00F3781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uiPriority w:val="99"/>
    <w:qFormat/>
    <w:rsid w:val="00F37818"/>
    <w:pPr>
      <w:spacing w:after="160" w:line="240" w:lineRule="exact"/>
    </w:pPr>
    <w:rPr>
      <w:vertAlign w:val="superscript"/>
    </w:rPr>
  </w:style>
  <w:style w:type="paragraph" w:styleId="BodyText">
    <w:name w:val="Body Text"/>
    <w:basedOn w:val="Normal"/>
    <w:link w:val="BodyTextChar"/>
    <w:uiPriority w:val="99"/>
    <w:unhideWhenUsed/>
    <w:rsid w:val="00B52B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52B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9528A-2ECE-48F9-BC93-B5D6221EE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690</Words>
  <Characters>4005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Daniel Popa</cp:lastModifiedBy>
  <cp:revision>3</cp:revision>
  <dcterms:created xsi:type="dcterms:W3CDTF">2016-11-14T13:27:00Z</dcterms:created>
  <dcterms:modified xsi:type="dcterms:W3CDTF">2016-11-14T13:29:00Z</dcterms:modified>
</cp:coreProperties>
</file>